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附件3</w:t>
      </w:r>
    </w:p>
    <w:p>
      <w:pPr>
        <w:spacing w:after="120" w:afterLines="50" w:line="5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Hlk103689535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柳州市公园广场等级评价指标表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5"/>
        <w:tblW w:w="13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42"/>
        <w:gridCol w:w="1951"/>
        <w:gridCol w:w="1679"/>
        <w:gridCol w:w="690"/>
        <w:gridCol w:w="6434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  <w:jc w:val="center"/>
        </w:trPr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bookmarkStart w:id="1" w:name="_Hlk89779557"/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大项</w:t>
            </w:r>
          </w:p>
        </w:tc>
        <w:tc>
          <w:tcPr>
            <w:tcW w:w="1342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中项</w:t>
            </w:r>
          </w:p>
        </w:tc>
        <w:tc>
          <w:tcPr>
            <w:tcW w:w="1951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说明</w:t>
            </w:r>
          </w:p>
        </w:tc>
        <w:tc>
          <w:tcPr>
            <w:tcW w:w="1679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小项</w:t>
            </w:r>
          </w:p>
        </w:tc>
        <w:tc>
          <w:tcPr>
            <w:tcW w:w="690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分值</w:t>
            </w:r>
          </w:p>
        </w:tc>
        <w:tc>
          <w:tcPr>
            <w:tcW w:w="6434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评价内容及满分标准</w:t>
            </w:r>
          </w:p>
        </w:tc>
        <w:tc>
          <w:tcPr>
            <w:tcW w:w="714" w:type="dxa"/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基本情况（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区位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区位的重要性进行评价。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城市重点区域或组团核心。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功能分区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功能分区布局及规模进行评价。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功能分区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功能分区布局及规模合理，可满足游人日常使用需求。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景观品质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景观风貌及环境品质进行评价。</w:t>
            </w:r>
          </w:p>
        </w:tc>
        <w:tc>
          <w:tcPr>
            <w:tcW w:w="167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空间组织、地形与水景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空间组织有序，地形地势美观，水体形态及驳岸与环境相协调。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植物景观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植物景观优美，配置合理，色彩多样，层次丰富，注重乡土植物应用。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园林建筑及小品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园林建筑及小品美观实用，具有文化特色，与周边环境相协调。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设施配置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各类设施配置水平及建设合规性进行评价。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设施布局与配建水平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游憩、服务、管理三类设施布局合理，配置符合公园性质、规模和功能承载要求，满足游人使用需求。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园路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园路分级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合理，能满足功能需求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，地面铺装美观整齐，游览线路顺畅，满足无障碍通行需求。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影响力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的重要性及社会影响力进行评价。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重要性及社会影响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国家重点公园、柳州市主要公园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；其他公园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根据价值及知名度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酌情打分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管理机构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管理机构及人员配置进行评价。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管理机制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有固定管理机构或有稳定的管理人员，各项管理工作规范有序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人员配置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各岗位人员专业配置合理，职能明确，满足管理服务需求。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总体规划编制（1分）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对公园广场总体规划编制情况进行评价。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总体规划编制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及时修订或编制公园广场总体规划方案，完善服务功能，满足游客需求。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维护管理（4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资源保护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各类资源的保护措施及效果进行评价。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绿地资源保护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绿地资源保护工作到位，措施合理，没有违法占用绿地情况。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古树名木保护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古树名木保护管理符合相关法规条例要求，挂牌建档，巡检到位，复壮及时，保护率100%。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文化资源保护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对文物遗迹、文物保护单位等历史文化资源保护、宣传措施得力，文物占用腾退工作到位。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山水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资源保护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广场内山体或水体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资源保护符合法律规范要求，保护工作到位，措施合理。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野生动植物资源保护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野生动物、野生植物资源保护符合法律规范要求，保护工作到位，措施合理。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绿地养护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（20分）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对绿地整体养护水平进行评价。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绿地养护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树木生长健壮，树冠饱满，树形整齐美观，修剪合理；</w:t>
            </w:r>
          </w:p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无死树、枯枝，基本无病虫害、药害现象；</w:t>
            </w:r>
          </w:p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草坪地被生长茂盛、平整，无杂草、无裸露地表，无污物、垃圾；</w:t>
            </w:r>
          </w:p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花坛花境配置合理，观赏效果好，三季有花有景；</w:t>
            </w:r>
          </w:p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绿篱生长旺盛，修剪整齐，无死株、缺档；</w:t>
            </w:r>
          </w:p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达到相应等级绿地养护质量标准。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设施维护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各类设施维护水平进行评价。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游憩、服务、管理各类设施维护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筑设施检查、检测、维护、维修到位，无安全隐患，符合相关技术安全规范要求；座椅、标识、园灯、围栏、运动健身器械等设施完好无损，能正常使用，舒适安全，相关提示清晰明显，有故障及时修理或更换；活动场地及园路地面无坑洼，无破损，无安全隐患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基础设施维护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园林电、气、热、水、监控等基础设施维护良好，运行正常。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卫生保洁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对园容卫生进行评价。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绿地、铺装、及设施保洁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绿地及园路铺装地面干净，无垃圾，地面无积水；各类设施外表干净、整洁，无乱贴乱画。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水体保洁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园内水体清洁，无异味。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公厕保洁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公厕无异味，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无明显污渍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，无蚊蝇，无乱贴广告，地面无积水；配置洗手液及厕纸。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垃圾处理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生活垃圾分类投放、收运，日产日清；绿化废弃物清理及时。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运营服务（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服务管理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管理服务、制度建设等情况进行评价。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制度建设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管理制度健全，有年度工作计划及总结，档案管理规范。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便捷服务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有针对“一老一小”等特定游客群体的关怀服务；通过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新媒体平台发布信息及时。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噪声管理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规定娱乐、健身等活动的区域、时段、音量，采取有效措施，避免公园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内各类噪声对其他游客及周边住宅等噪声敏感建筑物产生影响。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噪声控制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设置噪声自动监测和显示设施，防止噪声污染。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导览、接待、讲解服务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接待服务及广播系统、标识导览系统完善，专业讲解满足游客需求。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资金管理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年度资金使用计划合理，各项支出预算测算精细，账目清晰，专款专用，监管到位。 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咨询投诉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咨询投诉机制健全，响应及时，解决高效，“接诉即办”游客满意度高。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安全秩序管理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（7分）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安全秩序管理措施、安全运营总体情况进行评价。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安全管理机制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客流预警管控、防灾避险、应急保障等安全管理机制健全，责任主体明确。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游览秩序管理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游览秩序安全顺畅，日常安全巡检规范到位；大型活动组织有序。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安全生产管理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设施设备安全运行，文物古建安全隐患排查及日常巡检规范，食品安全管理监督到位，绿化作业人员作业环境安全。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安防系统及安全警示标志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消防设备及火警监控、安防监控系统完善，消防通道畅通，危险地段安全防护设施及安全警示标志齐全，门区设有安全检查系统。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安保人员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安保人员经过专业培训并持证上岗，日常巡检规范到位，能够有效协助维护安全文明游览秩序，人员数量满足安保要求。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文化及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科普活动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（5分）</w:t>
            </w: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文化及科普教育活动组织开展情况进行评价。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活动策划举办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文化科普活动组织频次及质量高，内容丰富，特色鲜明，品牌影响力高。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宣传展示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宣传渠道多元，方式多样；科教展示形式新颖，富有特色，主要游览区及特色植物挂牌。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公众参与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各类活动游客积极响应参与，有针对老人、中青年、儿童等不同群体的活动项目设置及参与平台。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商业经营</w:t>
            </w: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商业服务情况进行评价。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商业经营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商品经营项目符合公益属性及公园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功能定位，经营证件齐全，提供的各类商业服务能够满足游客需求。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7" w:type="dxa"/>
            <w:vMerge w:val="continue"/>
            <w:tcBorders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共治共享（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对公园广场志愿者服务以及市民园长等开展情况进行评价。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志愿者服务及市民园长制度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公园广场常态化开展志愿者服务，实行市民园长制等“共治”管理模式。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加分项（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智慧科技应用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绿化养护、土壤监测、生物防治、新优植物品种引种应用等科技成果应用程度高；园林作业机械化程度高。公园智慧化管理程度高，智能管理维护设施应用比例高。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绿化废弃物资源化处理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绿化废弃物按照就地粉碎还田、集中堆肥等方式进行减量化、资源化处置利用。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特色文化活动开展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挖掘公园广场文化，开展特色文化活动，活动内容丰富，有一定影响力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文创产品开发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开发具有文化内涵以及功能性和实用性的公园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主题性文创产品，文创产品经营管理工作机制健全。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4972" w:type="dxa"/>
            <w:gridSpan w:val="3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100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widowControl w:val="0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否决项</w:t>
            </w:r>
          </w:p>
        </w:tc>
        <w:tc>
          <w:tcPr>
            <w:tcW w:w="12810" w:type="dxa"/>
            <w:gridSpan w:val="6"/>
            <w:noWrap w:val="0"/>
            <w:vAlign w:val="center"/>
          </w:tcPr>
          <w:p>
            <w:pPr>
              <w:pStyle w:val="14"/>
              <w:widowControl w:val="0"/>
              <w:numPr>
                <w:ilvl w:val="0"/>
                <w:numId w:val="1"/>
              </w:numPr>
              <w:spacing w:after="0" w:line="240" w:lineRule="auto"/>
              <w:ind w:firstLineChars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发生重大安全事故；②破坏文物古迹；③破坏古树名木；④违规侵占绿地；⑤违规开垦、占用湿地或者改变湿地用途；⑥违规猎捕猎杀重点保护野生动物、采挖重点保护野生植物。</w:t>
            </w:r>
          </w:p>
        </w:tc>
      </w:tr>
      <w:bookmarkEnd w:id="1"/>
    </w:tbl>
    <w:p>
      <w:pPr>
        <w:spacing w:after="0" w:line="14" w:lineRule="exact"/>
        <w:ind w:firstLine="0"/>
        <w:rPr>
          <w:color w:val="auto"/>
          <w:sz w:val="28"/>
          <w:szCs w:val="28"/>
        </w:rPr>
      </w:pPr>
    </w:p>
    <w:sectPr>
      <w:footerReference r:id="rId7" w:type="first"/>
      <w:footerReference r:id="rId5" w:type="default"/>
      <w:footerReference r:id="rId6" w:type="even"/>
      <w:pgSz w:w="16838" w:h="11906" w:orient="landscape"/>
      <w:pgMar w:top="1304" w:right="1417" w:bottom="1304" w:left="1417" w:header="720" w:footer="1259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04F451-D8F8-4D83-8DFD-7E605BFEDE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2" w:fontKey="{C5B89634-B3DB-4DE1-811A-BA3EE8AAA3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42A7D3-D24C-4D63-BC86-88CE5FFEE3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EE0721C-2DD8-4478-A71B-5EE3B5C298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hAnsi="等线" w:eastAsia="等线" w:cs="等线"/>
        <w:sz w:val="18"/>
      </w:rPr>
      <w:t>2</w:t>
    </w:r>
    <w:r>
      <w:rPr>
        <w:rFonts w:ascii="等线" w:hAnsi="等线" w:eastAsia="等线" w:cs="等线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hAnsi="等线" w:eastAsia="等线" w:cs="等线"/>
        <w:sz w:val="18"/>
      </w:rPr>
      <w:t>9</w:t>
    </w:r>
    <w:r>
      <w:rPr>
        <w:rFonts w:ascii="等线" w:hAnsi="等线" w:eastAsia="等线" w:cs="等线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hAnsi="等线" w:eastAsia="等线" w:cs="等线"/>
        <w:sz w:val="18"/>
      </w:rPr>
      <w:t>9</w:t>
    </w:r>
    <w:r>
      <w:rPr>
        <w:rFonts w:ascii="等线" w:hAnsi="等线" w:eastAsia="等线" w:cs="等线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33" w:lineRule="auto"/>
      </w:pPr>
      <w:r>
        <w:separator/>
      </w:r>
    </w:p>
  </w:footnote>
  <w:footnote w:type="continuationSeparator" w:id="1">
    <w:p>
      <w:pPr>
        <w:spacing w:before="0" w:after="0" w:line="33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701A8"/>
    <w:multiLevelType w:val="multilevel"/>
    <w:tmpl w:val="194701A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2E2NzZhODgwMmJlOTY4YzRhMzc2MmE2NWE0YjcifQ=="/>
  </w:docVars>
  <w:rsids>
    <w:rsidRoot w:val="00F53A69"/>
    <w:rsid w:val="00022E1A"/>
    <w:rsid w:val="00025259"/>
    <w:rsid w:val="00031085"/>
    <w:rsid w:val="00040230"/>
    <w:rsid w:val="00056BC0"/>
    <w:rsid w:val="000628FF"/>
    <w:rsid w:val="0006450D"/>
    <w:rsid w:val="000706D6"/>
    <w:rsid w:val="0007329E"/>
    <w:rsid w:val="0008255F"/>
    <w:rsid w:val="00087728"/>
    <w:rsid w:val="00087BF4"/>
    <w:rsid w:val="00095384"/>
    <w:rsid w:val="000A0A92"/>
    <w:rsid w:val="000A4B06"/>
    <w:rsid w:val="000D266B"/>
    <w:rsid w:val="000D51B8"/>
    <w:rsid w:val="000D67EA"/>
    <w:rsid w:val="000D71A0"/>
    <w:rsid w:val="000F3E30"/>
    <w:rsid w:val="000F6547"/>
    <w:rsid w:val="00100175"/>
    <w:rsid w:val="00100216"/>
    <w:rsid w:val="00115570"/>
    <w:rsid w:val="00124DC4"/>
    <w:rsid w:val="00125080"/>
    <w:rsid w:val="00134C4E"/>
    <w:rsid w:val="0014046D"/>
    <w:rsid w:val="00144B63"/>
    <w:rsid w:val="00146ED0"/>
    <w:rsid w:val="00152F01"/>
    <w:rsid w:val="00163A37"/>
    <w:rsid w:val="0017119F"/>
    <w:rsid w:val="00176D61"/>
    <w:rsid w:val="00177005"/>
    <w:rsid w:val="0018327A"/>
    <w:rsid w:val="0019062E"/>
    <w:rsid w:val="00193F21"/>
    <w:rsid w:val="001B2C28"/>
    <w:rsid w:val="001B6DC5"/>
    <w:rsid w:val="001C732D"/>
    <w:rsid w:val="001D1088"/>
    <w:rsid w:val="001D7D6D"/>
    <w:rsid w:val="001E64A2"/>
    <w:rsid w:val="00205885"/>
    <w:rsid w:val="002135FD"/>
    <w:rsid w:val="002174FA"/>
    <w:rsid w:val="00242921"/>
    <w:rsid w:val="0024370F"/>
    <w:rsid w:val="0024467E"/>
    <w:rsid w:val="0025057E"/>
    <w:rsid w:val="00250853"/>
    <w:rsid w:val="00250F9D"/>
    <w:rsid w:val="002618E5"/>
    <w:rsid w:val="002621A4"/>
    <w:rsid w:val="00266CAC"/>
    <w:rsid w:val="00272618"/>
    <w:rsid w:val="00276342"/>
    <w:rsid w:val="0028584F"/>
    <w:rsid w:val="002900B8"/>
    <w:rsid w:val="002B3D58"/>
    <w:rsid w:val="002B7DB9"/>
    <w:rsid w:val="002C20E8"/>
    <w:rsid w:val="002C7180"/>
    <w:rsid w:val="002D08E6"/>
    <w:rsid w:val="002E33F1"/>
    <w:rsid w:val="002E585F"/>
    <w:rsid w:val="002F5F39"/>
    <w:rsid w:val="003071EB"/>
    <w:rsid w:val="00307505"/>
    <w:rsid w:val="00312188"/>
    <w:rsid w:val="00313C52"/>
    <w:rsid w:val="0033169E"/>
    <w:rsid w:val="0033170C"/>
    <w:rsid w:val="003355E5"/>
    <w:rsid w:val="003362AE"/>
    <w:rsid w:val="00336BA9"/>
    <w:rsid w:val="003452EC"/>
    <w:rsid w:val="00345D21"/>
    <w:rsid w:val="00345E2B"/>
    <w:rsid w:val="00345FD9"/>
    <w:rsid w:val="0034631D"/>
    <w:rsid w:val="00360C4D"/>
    <w:rsid w:val="00361982"/>
    <w:rsid w:val="00364DB1"/>
    <w:rsid w:val="0037183C"/>
    <w:rsid w:val="00376C9C"/>
    <w:rsid w:val="00385FA3"/>
    <w:rsid w:val="003946F8"/>
    <w:rsid w:val="003A46F6"/>
    <w:rsid w:val="003C2BD3"/>
    <w:rsid w:val="003D0703"/>
    <w:rsid w:val="003D2825"/>
    <w:rsid w:val="003E70F3"/>
    <w:rsid w:val="003F715C"/>
    <w:rsid w:val="00401A05"/>
    <w:rsid w:val="0042314D"/>
    <w:rsid w:val="00434E4D"/>
    <w:rsid w:val="00453190"/>
    <w:rsid w:val="0046676A"/>
    <w:rsid w:val="00482C25"/>
    <w:rsid w:val="00486CF4"/>
    <w:rsid w:val="00491420"/>
    <w:rsid w:val="004B2550"/>
    <w:rsid w:val="004B261E"/>
    <w:rsid w:val="004B3B8E"/>
    <w:rsid w:val="004C43D9"/>
    <w:rsid w:val="004C470B"/>
    <w:rsid w:val="004E584D"/>
    <w:rsid w:val="004F6C70"/>
    <w:rsid w:val="005076D8"/>
    <w:rsid w:val="0051027B"/>
    <w:rsid w:val="00512C41"/>
    <w:rsid w:val="00521D68"/>
    <w:rsid w:val="00530A96"/>
    <w:rsid w:val="00553DED"/>
    <w:rsid w:val="00564048"/>
    <w:rsid w:val="00566E39"/>
    <w:rsid w:val="005673C0"/>
    <w:rsid w:val="00581AC3"/>
    <w:rsid w:val="005827C6"/>
    <w:rsid w:val="00587CAD"/>
    <w:rsid w:val="0059299D"/>
    <w:rsid w:val="005A060D"/>
    <w:rsid w:val="005A44D1"/>
    <w:rsid w:val="005A6237"/>
    <w:rsid w:val="005B0966"/>
    <w:rsid w:val="005C40B8"/>
    <w:rsid w:val="005C529A"/>
    <w:rsid w:val="005D6B85"/>
    <w:rsid w:val="005E2D0E"/>
    <w:rsid w:val="005F0FAE"/>
    <w:rsid w:val="005F1DF8"/>
    <w:rsid w:val="00606E98"/>
    <w:rsid w:val="00613083"/>
    <w:rsid w:val="006140C2"/>
    <w:rsid w:val="00622F3C"/>
    <w:rsid w:val="00626DB8"/>
    <w:rsid w:val="006300DF"/>
    <w:rsid w:val="00631C7B"/>
    <w:rsid w:val="0063290F"/>
    <w:rsid w:val="00642F04"/>
    <w:rsid w:val="006453B2"/>
    <w:rsid w:val="00651E13"/>
    <w:rsid w:val="00666AD7"/>
    <w:rsid w:val="00672872"/>
    <w:rsid w:val="00674D0A"/>
    <w:rsid w:val="0067573A"/>
    <w:rsid w:val="00683833"/>
    <w:rsid w:val="00684BB9"/>
    <w:rsid w:val="00684BC7"/>
    <w:rsid w:val="0068568D"/>
    <w:rsid w:val="00693B37"/>
    <w:rsid w:val="00693F76"/>
    <w:rsid w:val="006952C6"/>
    <w:rsid w:val="006A4494"/>
    <w:rsid w:val="006A6BF8"/>
    <w:rsid w:val="006B0296"/>
    <w:rsid w:val="006B04BE"/>
    <w:rsid w:val="006B490D"/>
    <w:rsid w:val="006B5170"/>
    <w:rsid w:val="006C79F1"/>
    <w:rsid w:val="006D5489"/>
    <w:rsid w:val="006E603D"/>
    <w:rsid w:val="006F5CD7"/>
    <w:rsid w:val="00704B25"/>
    <w:rsid w:val="00711BCE"/>
    <w:rsid w:val="0071231E"/>
    <w:rsid w:val="0072686A"/>
    <w:rsid w:val="007345FA"/>
    <w:rsid w:val="00754E5A"/>
    <w:rsid w:val="00773465"/>
    <w:rsid w:val="00785D37"/>
    <w:rsid w:val="00787F5E"/>
    <w:rsid w:val="00795878"/>
    <w:rsid w:val="007A5F2C"/>
    <w:rsid w:val="007C331C"/>
    <w:rsid w:val="007C6E5F"/>
    <w:rsid w:val="007E001E"/>
    <w:rsid w:val="007F5F81"/>
    <w:rsid w:val="00803BD3"/>
    <w:rsid w:val="00806CBC"/>
    <w:rsid w:val="00821AB1"/>
    <w:rsid w:val="00821B20"/>
    <w:rsid w:val="00822D2E"/>
    <w:rsid w:val="008243A4"/>
    <w:rsid w:val="008305EF"/>
    <w:rsid w:val="00836C71"/>
    <w:rsid w:val="00841012"/>
    <w:rsid w:val="00843C79"/>
    <w:rsid w:val="00845BC8"/>
    <w:rsid w:val="00845E04"/>
    <w:rsid w:val="00864AF8"/>
    <w:rsid w:val="008660C6"/>
    <w:rsid w:val="00871A4A"/>
    <w:rsid w:val="00876038"/>
    <w:rsid w:val="00880B7A"/>
    <w:rsid w:val="00887DCB"/>
    <w:rsid w:val="008A0567"/>
    <w:rsid w:val="008A2C8B"/>
    <w:rsid w:val="008A4830"/>
    <w:rsid w:val="008A7EBD"/>
    <w:rsid w:val="008C0447"/>
    <w:rsid w:val="008C0A3F"/>
    <w:rsid w:val="008C3800"/>
    <w:rsid w:val="008D3F7F"/>
    <w:rsid w:val="008E2893"/>
    <w:rsid w:val="008E558D"/>
    <w:rsid w:val="00906047"/>
    <w:rsid w:val="00906B5A"/>
    <w:rsid w:val="00907E3E"/>
    <w:rsid w:val="00910274"/>
    <w:rsid w:val="00912F23"/>
    <w:rsid w:val="009173AE"/>
    <w:rsid w:val="00921D65"/>
    <w:rsid w:val="00922BAE"/>
    <w:rsid w:val="009423C0"/>
    <w:rsid w:val="00962422"/>
    <w:rsid w:val="0097103A"/>
    <w:rsid w:val="009711CD"/>
    <w:rsid w:val="009A5AC2"/>
    <w:rsid w:val="009A6816"/>
    <w:rsid w:val="009B0072"/>
    <w:rsid w:val="009B01C7"/>
    <w:rsid w:val="009B33A1"/>
    <w:rsid w:val="009B6151"/>
    <w:rsid w:val="009C4227"/>
    <w:rsid w:val="009C709A"/>
    <w:rsid w:val="009D2C4D"/>
    <w:rsid w:val="009E139C"/>
    <w:rsid w:val="009E34F2"/>
    <w:rsid w:val="009F19E5"/>
    <w:rsid w:val="009F642C"/>
    <w:rsid w:val="009F6A44"/>
    <w:rsid w:val="00A078BD"/>
    <w:rsid w:val="00A17795"/>
    <w:rsid w:val="00A23971"/>
    <w:rsid w:val="00A24E59"/>
    <w:rsid w:val="00A33500"/>
    <w:rsid w:val="00A349ED"/>
    <w:rsid w:val="00A35B04"/>
    <w:rsid w:val="00A35E2B"/>
    <w:rsid w:val="00A40EFA"/>
    <w:rsid w:val="00A45944"/>
    <w:rsid w:val="00A60587"/>
    <w:rsid w:val="00A619BE"/>
    <w:rsid w:val="00A6294F"/>
    <w:rsid w:val="00A62A0D"/>
    <w:rsid w:val="00A65A88"/>
    <w:rsid w:val="00A81399"/>
    <w:rsid w:val="00A81B39"/>
    <w:rsid w:val="00A96655"/>
    <w:rsid w:val="00AA07CE"/>
    <w:rsid w:val="00AC544A"/>
    <w:rsid w:val="00AC5AF6"/>
    <w:rsid w:val="00AD695E"/>
    <w:rsid w:val="00AE091F"/>
    <w:rsid w:val="00AE69E0"/>
    <w:rsid w:val="00AF350D"/>
    <w:rsid w:val="00AF473C"/>
    <w:rsid w:val="00AF76F6"/>
    <w:rsid w:val="00B07BD4"/>
    <w:rsid w:val="00B11911"/>
    <w:rsid w:val="00B13966"/>
    <w:rsid w:val="00B20DFF"/>
    <w:rsid w:val="00B348E6"/>
    <w:rsid w:val="00B37BFA"/>
    <w:rsid w:val="00B544FB"/>
    <w:rsid w:val="00B57423"/>
    <w:rsid w:val="00B57E34"/>
    <w:rsid w:val="00B63145"/>
    <w:rsid w:val="00B66FAC"/>
    <w:rsid w:val="00B74035"/>
    <w:rsid w:val="00B93A5C"/>
    <w:rsid w:val="00BA2E55"/>
    <w:rsid w:val="00BA69AC"/>
    <w:rsid w:val="00BB07DC"/>
    <w:rsid w:val="00BC732F"/>
    <w:rsid w:val="00BE3B02"/>
    <w:rsid w:val="00BE3E1E"/>
    <w:rsid w:val="00BE410D"/>
    <w:rsid w:val="00BF03D4"/>
    <w:rsid w:val="00BF4779"/>
    <w:rsid w:val="00BF681F"/>
    <w:rsid w:val="00C01102"/>
    <w:rsid w:val="00C2685F"/>
    <w:rsid w:val="00C326D9"/>
    <w:rsid w:val="00C33716"/>
    <w:rsid w:val="00C33979"/>
    <w:rsid w:val="00C43929"/>
    <w:rsid w:val="00C452C0"/>
    <w:rsid w:val="00C512B8"/>
    <w:rsid w:val="00C55027"/>
    <w:rsid w:val="00C621F7"/>
    <w:rsid w:val="00C7077F"/>
    <w:rsid w:val="00C74405"/>
    <w:rsid w:val="00C7777C"/>
    <w:rsid w:val="00C966F3"/>
    <w:rsid w:val="00CB5718"/>
    <w:rsid w:val="00CB655F"/>
    <w:rsid w:val="00CC3530"/>
    <w:rsid w:val="00CD09B5"/>
    <w:rsid w:val="00CD1D4F"/>
    <w:rsid w:val="00CE0554"/>
    <w:rsid w:val="00CE226D"/>
    <w:rsid w:val="00CE65FA"/>
    <w:rsid w:val="00CF7378"/>
    <w:rsid w:val="00D0626D"/>
    <w:rsid w:val="00D07E37"/>
    <w:rsid w:val="00D114FE"/>
    <w:rsid w:val="00D12FA7"/>
    <w:rsid w:val="00D62C78"/>
    <w:rsid w:val="00D659EC"/>
    <w:rsid w:val="00D72B9F"/>
    <w:rsid w:val="00D75B0F"/>
    <w:rsid w:val="00D81C83"/>
    <w:rsid w:val="00D85C12"/>
    <w:rsid w:val="00D87210"/>
    <w:rsid w:val="00D95B6F"/>
    <w:rsid w:val="00D97F0C"/>
    <w:rsid w:val="00DA53FC"/>
    <w:rsid w:val="00DA5BCE"/>
    <w:rsid w:val="00DB0928"/>
    <w:rsid w:val="00DB4F4F"/>
    <w:rsid w:val="00DD5006"/>
    <w:rsid w:val="00DD58A7"/>
    <w:rsid w:val="00DE47E5"/>
    <w:rsid w:val="00DF01B9"/>
    <w:rsid w:val="00DF2CC2"/>
    <w:rsid w:val="00DF36C7"/>
    <w:rsid w:val="00DF460C"/>
    <w:rsid w:val="00E01C54"/>
    <w:rsid w:val="00E03886"/>
    <w:rsid w:val="00E05550"/>
    <w:rsid w:val="00E05C78"/>
    <w:rsid w:val="00E12F34"/>
    <w:rsid w:val="00E15556"/>
    <w:rsid w:val="00E15652"/>
    <w:rsid w:val="00E24D25"/>
    <w:rsid w:val="00E32D0D"/>
    <w:rsid w:val="00E4402C"/>
    <w:rsid w:val="00E50A90"/>
    <w:rsid w:val="00E542C6"/>
    <w:rsid w:val="00E62B5D"/>
    <w:rsid w:val="00E66894"/>
    <w:rsid w:val="00E738A2"/>
    <w:rsid w:val="00E7629D"/>
    <w:rsid w:val="00E861AB"/>
    <w:rsid w:val="00E91499"/>
    <w:rsid w:val="00EA3E58"/>
    <w:rsid w:val="00EB45DC"/>
    <w:rsid w:val="00ED4916"/>
    <w:rsid w:val="00ED60ED"/>
    <w:rsid w:val="00ED660F"/>
    <w:rsid w:val="00ED6F62"/>
    <w:rsid w:val="00EE1F9A"/>
    <w:rsid w:val="00EF65BF"/>
    <w:rsid w:val="00F0222A"/>
    <w:rsid w:val="00F202EE"/>
    <w:rsid w:val="00F32168"/>
    <w:rsid w:val="00F443B7"/>
    <w:rsid w:val="00F53A69"/>
    <w:rsid w:val="00F578EF"/>
    <w:rsid w:val="00F60C82"/>
    <w:rsid w:val="00F73099"/>
    <w:rsid w:val="00F763AC"/>
    <w:rsid w:val="00F84A7C"/>
    <w:rsid w:val="00F854C9"/>
    <w:rsid w:val="00F918DF"/>
    <w:rsid w:val="00F93085"/>
    <w:rsid w:val="00F97739"/>
    <w:rsid w:val="00FA0146"/>
    <w:rsid w:val="00FA215D"/>
    <w:rsid w:val="00FA3949"/>
    <w:rsid w:val="00FA5769"/>
    <w:rsid w:val="00FA6C8F"/>
    <w:rsid w:val="00FA732C"/>
    <w:rsid w:val="00FB4F71"/>
    <w:rsid w:val="00FB6B21"/>
    <w:rsid w:val="00FC3D54"/>
    <w:rsid w:val="00FC6270"/>
    <w:rsid w:val="00FD22AD"/>
    <w:rsid w:val="00FD2E54"/>
    <w:rsid w:val="00FE1850"/>
    <w:rsid w:val="00FE4AB2"/>
    <w:rsid w:val="00FF5587"/>
    <w:rsid w:val="00FF5B0A"/>
    <w:rsid w:val="01BC0C1A"/>
    <w:rsid w:val="050C147B"/>
    <w:rsid w:val="055F31D3"/>
    <w:rsid w:val="06363B5D"/>
    <w:rsid w:val="064E336B"/>
    <w:rsid w:val="06A50BF6"/>
    <w:rsid w:val="0BBA4FFF"/>
    <w:rsid w:val="0EE0240B"/>
    <w:rsid w:val="12A871B3"/>
    <w:rsid w:val="13426390"/>
    <w:rsid w:val="18C17ACF"/>
    <w:rsid w:val="1B4937CB"/>
    <w:rsid w:val="1D120C30"/>
    <w:rsid w:val="1FAD64BB"/>
    <w:rsid w:val="22B10CA6"/>
    <w:rsid w:val="252F5045"/>
    <w:rsid w:val="26572104"/>
    <w:rsid w:val="267F67D1"/>
    <w:rsid w:val="298447FE"/>
    <w:rsid w:val="2A094D30"/>
    <w:rsid w:val="2A2A53D4"/>
    <w:rsid w:val="2AC9381F"/>
    <w:rsid w:val="2BF51A0F"/>
    <w:rsid w:val="2F7B0792"/>
    <w:rsid w:val="2FF8FB68"/>
    <w:rsid w:val="32294D0B"/>
    <w:rsid w:val="3399322C"/>
    <w:rsid w:val="35BABCFE"/>
    <w:rsid w:val="367A269F"/>
    <w:rsid w:val="37034D79"/>
    <w:rsid w:val="37CF5761"/>
    <w:rsid w:val="37DF52B4"/>
    <w:rsid w:val="39A76BCA"/>
    <w:rsid w:val="39F03E91"/>
    <w:rsid w:val="3A237EE9"/>
    <w:rsid w:val="3BA40F08"/>
    <w:rsid w:val="3BAFF170"/>
    <w:rsid w:val="3BEF604D"/>
    <w:rsid w:val="3C9515CF"/>
    <w:rsid w:val="3DC54FBA"/>
    <w:rsid w:val="3FDC1E13"/>
    <w:rsid w:val="3FFFBD1B"/>
    <w:rsid w:val="40C55B80"/>
    <w:rsid w:val="41BF2602"/>
    <w:rsid w:val="42585867"/>
    <w:rsid w:val="44E5473A"/>
    <w:rsid w:val="45DA01B3"/>
    <w:rsid w:val="45EBEFEC"/>
    <w:rsid w:val="47DB1E93"/>
    <w:rsid w:val="48A5479A"/>
    <w:rsid w:val="49B62248"/>
    <w:rsid w:val="4CD11A11"/>
    <w:rsid w:val="4E861D84"/>
    <w:rsid w:val="4EFD3C35"/>
    <w:rsid w:val="53F252D8"/>
    <w:rsid w:val="54A2071D"/>
    <w:rsid w:val="5B9B6085"/>
    <w:rsid w:val="5CB65CF8"/>
    <w:rsid w:val="5CDD759E"/>
    <w:rsid w:val="5E7EF98C"/>
    <w:rsid w:val="5EFBC28B"/>
    <w:rsid w:val="5FBADEC0"/>
    <w:rsid w:val="5FE91A64"/>
    <w:rsid w:val="6057789C"/>
    <w:rsid w:val="65F313B3"/>
    <w:rsid w:val="688E01AA"/>
    <w:rsid w:val="68DF3D89"/>
    <w:rsid w:val="6A645852"/>
    <w:rsid w:val="6BEB1843"/>
    <w:rsid w:val="6DAE0209"/>
    <w:rsid w:val="6E52229C"/>
    <w:rsid w:val="6EBC069A"/>
    <w:rsid w:val="6EF90376"/>
    <w:rsid w:val="6F5F6DB9"/>
    <w:rsid w:val="6FFD5F81"/>
    <w:rsid w:val="6FFF9AB1"/>
    <w:rsid w:val="7133451D"/>
    <w:rsid w:val="72095756"/>
    <w:rsid w:val="733815EC"/>
    <w:rsid w:val="74694DAC"/>
    <w:rsid w:val="753F08FB"/>
    <w:rsid w:val="759B0190"/>
    <w:rsid w:val="76F90EEF"/>
    <w:rsid w:val="77061761"/>
    <w:rsid w:val="78C80CA1"/>
    <w:rsid w:val="79740300"/>
    <w:rsid w:val="7A8F67EF"/>
    <w:rsid w:val="7C3D5C73"/>
    <w:rsid w:val="7D77E235"/>
    <w:rsid w:val="7F9E8DE8"/>
    <w:rsid w:val="7FD26A2C"/>
    <w:rsid w:val="9BCBEACD"/>
    <w:rsid w:val="9F6F48AC"/>
    <w:rsid w:val="A1D73DE6"/>
    <w:rsid w:val="ADDF0154"/>
    <w:rsid w:val="AFFF4561"/>
    <w:rsid w:val="B74FA815"/>
    <w:rsid w:val="B8A75085"/>
    <w:rsid w:val="BBA7EDE6"/>
    <w:rsid w:val="BEDE4594"/>
    <w:rsid w:val="BF7D729D"/>
    <w:rsid w:val="C5D7FCCC"/>
    <w:rsid w:val="C5F355EA"/>
    <w:rsid w:val="C77EAF3A"/>
    <w:rsid w:val="CFDFC47F"/>
    <w:rsid w:val="DB7EBE5C"/>
    <w:rsid w:val="DB7F70E7"/>
    <w:rsid w:val="EBFFD74A"/>
    <w:rsid w:val="F6EEA1B9"/>
    <w:rsid w:val="F7AA898D"/>
    <w:rsid w:val="F7D5D59C"/>
    <w:rsid w:val="F9FF18E5"/>
    <w:rsid w:val="FCFF5774"/>
    <w:rsid w:val="FE78FC61"/>
    <w:rsid w:val="FEF2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33" w:lineRule="auto"/>
      <w:ind w:firstLine="631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line="259" w:lineRule="auto"/>
      <w:ind w:left="804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  <w:ind w:firstLine="0"/>
    </w:pPr>
    <w:rPr>
      <w:rFonts w:ascii="等线" w:hAnsi="等线" w:eastAsia="等线" w:cs="Times New Roman"/>
      <w:color w:val="auto"/>
      <w:kern w:val="0"/>
      <w:sz w:val="22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微软雅黑" w:hAnsi="微软雅黑" w:eastAsia="微软雅黑"/>
      <w:color w:val="000000"/>
      <w:sz w:val="44"/>
      <w:lang w:bidi="ar-SA"/>
    </w:rPr>
  </w:style>
  <w:style w:type="character" w:customStyle="1" w:styleId="9">
    <w:name w:val="页脚 Char"/>
    <w:basedOn w:val="7"/>
    <w:link w:val="3"/>
    <w:qFormat/>
    <w:uiPriority w:val="99"/>
    <w:rPr>
      <w:rFonts w:cs="Times New Roman"/>
      <w:kern w:val="0"/>
      <w:sz w:val="22"/>
    </w:rPr>
  </w:style>
  <w:style w:type="character" w:customStyle="1" w:styleId="10">
    <w:name w:val="页眉 Char"/>
    <w:basedOn w:val="7"/>
    <w:link w:val="4"/>
    <w:qFormat/>
    <w:uiPriority w:val="99"/>
    <w:rPr>
      <w:rFonts w:ascii="仿宋" w:hAnsi="仿宋" w:eastAsia="仿宋" w:cs="仿宋"/>
      <w:color w:val="000000"/>
      <w:sz w:val="18"/>
      <w:szCs w:val="18"/>
    </w:rPr>
  </w:style>
  <w:style w:type="table" w:customStyle="1" w:styleId="11">
    <w:name w:val="TableGrid"/>
    <w:qFormat/>
    <w:uiPriority w:val="0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修订1"/>
    <w:semiHidden/>
    <w:qFormat/>
    <w:uiPriority w:val="99"/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段 Char"/>
    <w:link w:val="16"/>
    <w:qFormat/>
    <w:uiPriority w:val="0"/>
    <w:rPr>
      <w:rFonts w:ascii="宋体" w:hAnsi="等线" w:eastAsia="等线"/>
      <w:kern w:val="2"/>
      <w:sz w:val="21"/>
      <w:szCs w:val="22"/>
      <w:lang w:val="en-US" w:eastAsia="zh-CN" w:bidi="ar-SA"/>
    </w:rPr>
  </w:style>
  <w:style w:type="paragraph" w:customStyle="1" w:styleId="16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2541</Words>
  <Characters>2553</Characters>
  <Lines>22</Lines>
  <Paragraphs>6</Paragraphs>
  <TotalTime>2</TotalTime>
  <ScaleCrop>false</ScaleCrop>
  <LinksUpToDate>false</LinksUpToDate>
  <CharactersWithSpaces>2554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2022-06-17T08:20:00Z</dcterms:created>
  <dc:creator>ge_66@163.com</dc:creator>
  <cp:lastModifiedBy>Administrator</cp:lastModifiedBy>
  <cp:lastPrinted>2022-05-28T16:40:00Z</cp:lastPrinted>
  <dcterms:modified xsi:type="dcterms:W3CDTF">2023-11-08T08:53:11Z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C5A7A6E2E4E64093AEB8B034D44EE6BE_13</vt:lpwstr>
  </property>
</Properties>
</file>